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758" w:type="dxa"/>
        <w:tblLayout w:type="fixed"/>
        <w:tblCellMar>
          <w:left w:w="10" w:type="dxa"/>
          <w:right w:w="10" w:type="dxa"/>
        </w:tblCellMar>
        <w:tblLook w:val="0000" w:firstRow="0" w:lastRow="0" w:firstColumn="0" w:lastColumn="0" w:noHBand="0" w:noVBand="0"/>
      </w:tblPr>
      <w:tblGrid>
        <w:gridCol w:w="5514"/>
        <w:gridCol w:w="5244"/>
      </w:tblGrid>
      <w:tr w:rsidR="00920659" w:rsidRPr="00920659" w:rsidTr="004D2B43">
        <w:trPr>
          <w:cantSplit/>
          <w:trHeight w:val="2392"/>
        </w:trPr>
        <w:tc>
          <w:tcPr>
            <w:tcW w:w="10758"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51385F" w:rsidRPr="00920659" w:rsidTr="004D2B43">
        <w:trPr>
          <w:cantSplit/>
          <w:trHeight w:val="1388"/>
        </w:trPr>
        <w:tc>
          <w:tcPr>
            <w:tcW w:w="10758"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51385F" w:rsidRPr="003D4516"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B325DD" w:rsidRPr="00391FF1" w:rsidRDefault="00B325DD" w:rsidP="00B325DD">
            <w:pPr>
              <w:keepNext/>
              <w:widowControl w:val="0"/>
              <w:numPr>
                <w:ilvl w:val="7"/>
                <w:numId w:val="3"/>
              </w:numPr>
              <w:suppressAutoHyphens/>
              <w:spacing w:after="0" w:line="240" w:lineRule="auto"/>
              <w:jc w:val="center"/>
              <w:textAlignment w:val="baseline"/>
              <w:rPr>
                <w:rFonts w:cs="Calibri"/>
                <w:kern w:val="1"/>
                <w:sz w:val="32"/>
                <w:szCs w:val="32"/>
                <w:lang w:eastAsia="zh-CN"/>
              </w:rPr>
            </w:pPr>
            <w:r w:rsidRPr="00391FF1">
              <w:rPr>
                <w:rFonts w:cs="Calibri"/>
                <w:b/>
                <w:bCs/>
                <w:spacing w:val="40"/>
                <w:kern w:val="1"/>
                <w:sz w:val="32"/>
                <w:szCs w:val="32"/>
                <w:lang w:eastAsia="zh-CN"/>
              </w:rPr>
              <w:t>ΔΙΑΚΗΡΥΞΗ ΣΥΝΟΠΤΙΚΟΥ ΔΙΑΓΩΝΙΣΜΟΥ</w:t>
            </w:r>
          </w:p>
          <w:p w:rsidR="0051385F" w:rsidRPr="00E818AB" w:rsidRDefault="00B325DD" w:rsidP="00B325DD">
            <w:pPr>
              <w:keepNext/>
              <w:widowControl w:val="0"/>
              <w:numPr>
                <w:ilvl w:val="7"/>
                <w:numId w:val="1"/>
              </w:numPr>
              <w:suppressAutoHyphens/>
              <w:spacing w:after="0" w:line="240" w:lineRule="auto"/>
              <w:jc w:val="center"/>
              <w:textAlignment w:val="baseline"/>
              <w:rPr>
                <w:b/>
                <w:i/>
              </w:rPr>
            </w:pPr>
            <w:r w:rsidRPr="00391FF1">
              <w:rPr>
                <w:rFonts w:cs="Calibri"/>
                <w:b/>
                <w:bCs/>
                <w:spacing w:val="40"/>
                <w:kern w:val="1"/>
                <w:sz w:val="32"/>
                <w:szCs w:val="32"/>
                <w:lang w:eastAsia="zh-CN"/>
              </w:rPr>
              <w:t>ΓΙΑ ΤΗΝ ΠΡΟΜΗΘΕΙΑ ΔΙΑΚΟΣΙΩΝ (200) ΤΜΧ. ΑΛΕΞΙΣΦΑΙΡΩΝ ΓΙΛΕΚΩΝ ΓΙΑ ΤΗΝ ΚΑΛΥΨΗ ΤΩΝ ΑΝΑΓΚΩΝ ΤΟΥ ΠΡΟΣΩΠΙΚΟΥ ΤΗΣ Υ.Α.Β.Ε.</w:t>
            </w:r>
          </w:p>
        </w:tc>
      </w:tr>
      <w:tr w:rsidR="0051385F" w:rsidRPr="00920659" w:rsidTr="00554866">
        <w:trPr>
          <w:cantSplit/>
          <w:trHeight w:val="1081"/>
        </w:trPr>
        <w:tc>
          <w:tcPr>
            <w:tcW w:w="5514"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51385F" w:rsidRPr="00920659" w:rsidRDefault="0051385F" w:rsidP="0051385F">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5244" w:type="dxa"/>
            <w:tcBorders>
              <w:top w:val="single" w:sz="8" w:space="0" w:color="00000A"/>
              <w:left w:val="single" w:sz="8" w:space="0" w:color="00000A"/>
              <w:bottom w:val="single" w:sz="8" w:space="0" w:color="00000A"/>
              <w:right w:val="single" w:sz="12" w:space="0" w:color="00000A"/>
            </w:tcBorders>
            <w:shd w:val="clear" w:color="auto" w:fill="FFFFFF"/>
            <w:vAlign w:val="center"/>
          </w:tcPr>
          <w:tbl>
            <w:tblPr>
              <w:tblW w:w="0" w:type="auto"/>
              <w:tblBorders>
                <w:top w:val="nil"/>
                <w:left w:val="nil"/>
                <w:bottom w:val="nil"/>
                <w:right w:val="nil"/>
              </w:tblBorders>
              <w:tblLayout w:type="fixed"/>
              <w:tblLook w:val="0000" w:firstRow="0" w:lastRow="0" w:firstColumn="0" w:lastColumn="0" w:noHBand="0" w:noVBand="0"/>
            </w:tblPr>
            <w:tblGrid>
              <w:gridCol w:w="4730"/>
            </w:tblGrid>
            <w:tr w:rsidR="00E46C8D" w:rsidTr="00822823">
              <w:trPr>
                <w:trHeight w:val="297"/>
              </w:trPr>
              <w:tc>
                <w:tcPr>
                  <w:tcW w:w="4730" w:type="dxa"/>
                </w:tcPr>
                <w:p w:rsidR="00B325DD" w:rsidRPr="00391FF1" w:rsidRDefault="00B325DD" w:rsidP="00CE7806">
                  <w:pPr>
                    <w:pStyle w:val="Standard"/>
                    <w:framePr w:hSpace="180" w:wrap="around" w:vAnchor="page" w:hAnchor="margin" w:xAlign="center" w:y="3323"/>
                    <w:spacing w:after="0" w:line="240" w:lineRule="auto"/>
                    <w:ind w:firstLine="0"/>
                    <w:jc w:val="left"/>
                    <w:rPr>
                      <w:rFonts w:asciiTheme="minorHAnsi" w:hAnsiTheme="minorHAnsi"/>
                      <w:b/>
                      <w:bCs/>
                      <w:color w:val="auto"/>
                      <w:sz w:val="24"/>
                      <w:szCs w:val="24"/>
                    </w:rPr>
                  </w:pPr>
                  <w:r w:rsidRPr="00391FF1">
                    <w:rPr>
                      <w:rFonts w:asciiTheme="minorHAnsi" w:hAnsiTheme="minorHAnsi"/>
                      <w:b/>
                      <w:bCs/>
                      <w:color w:val="auto"/>
                      <w:sz w:val="24"/>
                      <w:szCs w:val="24"/>
                    </w:rPr>
                    <w:t xml:space="preserve">18110000-3/009 </w:t>
                  </w:r>
                </w:p>
                <w:p w:rsidR="00E46C8D" w:rsidRDefault="00B325DD" w:rsidP="00CE7806">
                  <w:pPr>
                    <w:pStyle w:val="Default"/>
                    <w:framePr w:hSpace="180" w:wrap="around" w:vAnchor="page" w:hAnchor="margin" w:xAlign="center" w:y="3323"/>
                    <w:rPr>
                      <w:sz w:val="23"/>
                      <w:szCs w:val="23"/>
                    </w:rPr>
                  </w:pPr>
                  <w:r w:rsidRPr="00391FF1">
                    <w:rPr>
                      <w:rFonts w:asciiTheme="minorHAnsi" w:hAnsiTheme="minorHAnsi"/>
                      <w:b/>
                      <w:bCs/>
                      <w:color w:val="auto"/>
                    </w:rPr>
                    <w:t>(Ρουχισμός επαγγελματικής χρήσης)</w:t>
                  </w:r>
                </w:p>
              </w:tc>
            </w:tr>
          </w:tbl>
          <w:p w:rsidR="0051385F" w:rsidRDefault="0051385F" w:rsidP="00710861">
            <w:pPr>
              <w:pStyle w:val="Standard"/>
              <w:spacing w:after="0" w:line="240" w:lineRule="auto"/>
              <w:ind w:firstLine="0"/>
              <w:rPr>
                <w:b/>
                <w:i/>
              </w:rPr>
            </w:pPr>
          </w:p>
        </w:tc>
      </w:tr>
      <w:tr w:rsidR="0051385F" w:rsidRPr="00920659" w:rsidTr="00554866">
        <w:trPr>
          <w:cantSplit/>
          <w:trHeight w:hRule="exact" w:val="2339"/>
        </w:trPr>
        <w:tc>
          <w:tcPr>
            <w:tcW w:w="5514"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51385F" w:rsidRPr="00920659" w:rsidRDefault="0051385F" w:rsidP="0051385F">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524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4910CA" w:rsidRDefault="004910CA" w:rsidP="004910CA">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503"/>
            </w:tblGrid>
            <w:tr w:rsidR="004910CA">
              <w:trPr>
                <w:trHeight w:val="909"/>
              </w:trPr>
              <w:tc>
                <w:tcPr>
                  <w:tcW w:w="4503" w:type="dxa"/>
                </w:tcPr>
                <w:p w:rsidR="00B325DD" w:rsidRPr="00391FF1" w:rsidRDefault="00B325DD" w:rsidP="00CE7806">
                  <w:pPr>
                    <w:pStyle w:val="Standard"/>
                    <w:framePr w:hSpace="180" w:wrap="around" w:vAnchor="page" w:hAnchor="margin" w:xAlign="center" w:y="3323"/>
                    <w:suppressAutoHyphens w:val="0"/>
                    <w:overflowPunct w:val="0"/>
                    <w:spacing w:after="0" w:line="240" w:lineRule="auto"/>
                    <w:ind w:left="36" w:firstLine="0"/>
                    <w:jc w:val="left"/>
                    <w:rPr>
                      <w:rFonts w:asciiTheme="minorHAnsi" w:hAnsiTheme="minorHAnsi"/>
                      <w:b/>
                      <w:i/>
                      <w:color w:val="auto"/>
                      <w:sz w:val="24"/>
                      <w:szCs w:val="24"/>
                    </w:rPr>
                  </w:pPr>
                  <w:r w:rsidRPr="00391FF1">
                    <w:rPr>
                      <w:rFonts w:asciiTheme="minorHAnsi" w:hAnsiTheme="minorHAnsi"/>
                      <w:b/>
                      <w:bCs/>
                      <w:i/>
                      <w:color w:val="auto"/>
                      <w:sz w:val="24"/>
                      <w:szCs w:val="24"/>
                      <w:shd w:val="clear" w:color="auto" w:fill="FFFFFF"/>
                    </w:rPr>
                    <w:t>Συνολική εκτιμώμενη αξία της σύμβασης σαράντα πέντε χιλιάδες ευρώ (45.000,00 €)</w:t>
                  </w:r>
                  <w:r>
                    <w:rPr>
                      <w:rFonts w:asciiTheme="minorHAnsi" w:hAnsiTheme="minorHAnsi"/>
                      <w:b/>
                      <w:bCs/>
                      <w:i/>
                      <w:color w:val="auto"/>
                      <w:sz w:val="24"/>
                      <w:szCs w:val="24"/>
                      <w:shd w:val="clear" w:color="auto" w:fill="FFFFFF"/>
                    </w:rPr>
                    <w:t xml:space="preserve"> πλέον ΦΠΑ</w:t>
                  </w:r>
                  <w:r w:rsidRPr="00391FF1">
                    <w:rPr>
                      <w:rFonts w:asciiTheme="minorHAnsi" w:hAnsiTheme="minorHAnsi"/>
                      <w:b/>
                      <w:bCs/>
                      <w:i/>
                      <w:color w:val="auto"/>
                      <w:sz w:val="24"/>
                      <w:szCs w:val="24"/>
                      <w:shd w:val="clear" w:color="auto" w:fill="FFFFFF"/>
                    </w:rPr>
                    <w:t>.</w:t>
                  </w:r>
                </w:p>
                <w:p w:rsidR="004910CA" w:rsidRPr="00727AF1" w:rsidRDefault="004910CA" w:rsidP="00CE7806">
                  <w:pPr>
                    <w:pStyle w:val="Default"/>
                    <w:framePr w:hSpace="180" w:wrap="around" w:vAnchor="page" w:hAnchor="margin" w:xAlign="center" w:y="3323"/>
                    <w:rPr>
                      <w:rFonts w:asciiTheme="minorHAnsi" w:hAnsiTheme="minorHAnsi" w:cstheme="minorBidi"/>
                      <w:b/>
                      <w:bCs/>
                      <w:i/>
                      <w:iCs/>
                      <w:color w:val="auto"/>
                      <w:sz w:val="23"/>
                      <w:szCs w:val="23"/>
                    </w:rPr>
                  </w:pPr>
                </w:p>
              </w:tc>
            </w:tr>
          </w:tbl>
          <w:p w:rsidR="0051385F" w:rsidRPr="00C4002C" w:rsidRDefault="0051385F" w:rsidP="004329B6">
            <w:pPr>
              <w:overflowPunct w:val="0"/>
              <w:spacing w:after="0" w:line="240" w:lineRule="auto"/>
              <w:ind w:left="36"/>
              <w:jc w:val="center"/>
              <w:textAlignment w:val="baseline"/>
              <w:rPr>
                <w:rFonts w:ascii="Calibri" w:eastAsia="Times New Roman" w:hAnsi="Calibri" w:cs="Calibri"/>
                <w:b/>
                <w:i/>
                <w:kern w:val="1"/>
                <w:sz w:val="24"/>
                <w:szCs w:val="24"/>
                <w:lang w:eastAsia="zh-CN"/>
              </w:rPr>
            </w:pPr>
          </w:p>
        </w:tc>
      </w:tr>
      <w:tr w:rsidR="00C2694E" w:rsidRPr="00920659" w:rsidTr="00554866">
        <w:trPr>
          <w:cantSplit/>
          <w:trHeight w:val="705"/>
        </w:trPr>
        <w:tc>
          <w:tcPr>
            <w:tcW w:w="5514" w:type="dxa"/>
            <w:tcBorders>
              <w:top w:val="single" w:sz="8" w:space="0" w:color="00000A"/>
              <w:left w:val="single" w:sz="12" w:space="0" w:color="00000A"/>
              <w:bottom w:val="single" w:sz="8" w:space="0" w:color="00000A"/>
            </w:tcBorders>
            <w:shd w:val="clear" w:color="auto" w:fill="FFFFFF"/>
          </w:tcPr>
          <w:p w:rsidR="00C2694E" w:rsidRPr="00920659" w:rsidRDefault="00C2694E" w:rsidP="00C2694E">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C2694E" w:rsidRPr="00920659" w:rsidRDefault="00C2694E" w:rsidP="00C2694E">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524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C2694E" w:rsidRPr="00391FF1" w:rsidRDefault="00C2694E" w:rsidP="00C2694E">
            <w:pPr>
              <w:pStyle w:val="Standard"/>
              <w:spacing w:after="0" w:line="240" w:lineRule="auto"/>
              <w:ind w:firstLine="0"/>
              <w:jc w:val="center"/>
              <w:rPr>
                <w:rFonts w:asciiTheme="minorHAnsi" w:hAnsiTheme="minorHAnsi"/>
                <w:b/>
                <w:i/>
                <w:color w:val="FF0000"/>
                <w:sz w:val="24"/>
                <w:szCs w:val="24"/>
                <w:lang w:val="en-US"/>
              </w:rPr>
            </w:pPr>
            <w:r>
              <w:rPr>
                <w:rFonts w:asciiTheme="minorHAnsi" w:hAnsiTheme="minorHAnsi"/>
                <w:b/>
                <w:i/>
                <w:color w:val="auto"/>
                <w:sz w:val="24"/>
                <w:szCs w:val="24"/>
                <w:lang w:val="en-US"/>
              </w:rPr>
              <w:t>8055/5498/01.07.2020</w:t>
            </w:r>
            <w:r w:rsidRPr="00391FF1">
              <w:rPr>
                <w:rFonts w:asciiTheme="minorHAnsi" w:hAnsiTheme="minorHAnsi"/>
                <w:b/>
                <w:i/>
                <w:color w:val="auto"/>
                <w:sz w:val="24"/>
                <w:szCs w:val="24"/>
              </w:rPr>
              <w:t xml:space="preserve"> (ΑΔΑ</w:t>
            </w:r>
            <w:r w:rsidRPr="00391FF1">
              <w:rPr>
                <w:rFonts w:asciiTheme="minorHAnsi" w:hAnsiTheme="minorHAnsi"/>
                <w:b/>
                <w:i/>
                <w:color w:val="auto"/>
                <w:sz w:val="24"/>
                <w:szCs w:val="24"/>
                <w:lang w:val="en-US"/>
              </w:rPr>
              <w:t>:</w:t>
            </w:r>
            <w:r>
              <w:rPr>
                <w:rFonts w:asciiTheme="minorHAnsi" w:hAnsiTheme="minorHAnsi"/>
                <w:b/>
                <w:i/>
                <w:color w:val="auto"/>
                <w:sz w:val="24"/>
                <w:szCs w:val="24"/>
              </w:rPr>
              <w:t xml:space="preserve"> 05-06ΙΟ</w:t>
            </w:r>
            <w:r w:rsidRPr="00391FF1">
              <w:rPr>
                <w:rFonts w:asciiTheme="minorHAnsi" w:hAnsiTheme="minorHAnsi"/>
                <w:b/>
                <w:i/>
                <w:color w:val="auto"/>
                <w:sz w:val="24"/>
                <w:szCs w:val="24"/>
                <w:lang w:val="en-US"/>
              </w:rPr>
              <w:t>)</w:t>
            </w:r>
          </w:p>
        </w:tc>
      </w:tr>
      <w:tr w:rsidR="00C2694E" w:rsidRPr="00920659" w:rsidTr="004D2B43">
        <w:trPr>
          <w:cantSplit/>
          <w:trHeight w:val="490"/>
        </w:trPr>
        <w:tc>
          <w:tcPr>
            <w:tcW w:w="10758"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C2694E" w:rsidRPr="00920659" w:rsidRDefault="00C2694E" w:rsidP="00C2694E">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C2694E" w:rsidRPr="00044FA5" w:rsidRDefault="00C2694E" w:rsidP="00C2694E">
            <w:pPr>
              <w:suppressAutoHyphens/>
              <w:spacing w:after="0" w:line="240" w:lineRule="auto"/>
              <w:jc w:val="center"/>
              <w:textAlignment w:val="baseline"/>
              <w:rPr>
                <w:rFonts w:ascii="Calibri" w:eastAsia="Times New Roman" w:hAnsi="Calibri" w:cs="Calibri"/>
                <w:i/>
                <w:kern w:val="1"/>
                <w:sz w:val="32"/>
                <w:szCs w:val="32"/>
                <w:lang w:eastAsia="ar-SA"/>
              </w:rPr>
            </w:pPr>
            <w:r w:rsidRPr="00920659">
              <w:rPr>
                <w:rFonts w:ascii="Calibri" w:eastAsia="Times New Roman" w:hAnsi="Calibri" w:cs="Calibri"/>
                <w:b/>
                <w:i/>
                <w:color w:val="00000A"/>
                <w:kern w:val="1"/>
                <w:sz w:val="32"/>
                <w:szCs w:val="32"/>
                <w:lang w:eastAsia="zh-CN"/>
              </w:rPr>
              <w:t>ΑΘΗΝΑ</w:t>
            </w:r>
            <w:r>
              <w:rPr>
                <w:b/>
                <w:i/>
                <w:sz w:val="32"/>
                <w:szCs w:val="32"/>
              </w:rPr>
              <w:t>,</w:t>
            </w:r>
            <w:r w:rsidRPr="00391FF1">
              <w:rPr>
                <w:b/>
                <w:i/>
                <w:sz w:val="32"/>
                <w:szCs w:val="32"/>
              </w:rPr>
              <w:t xml:space="preserve"> </w:t>
            </w:r>
            <w:r w:rsidR="00CE7806">
              <w:rPr>
                <w:b/>
                <w:i/>
                <w:sz w:val="32"/>
                <w:szCs w:val="32"/>
                <w:lang w:val="en-US"/>
              </w:rPr>
              <w:t>2/7/</w:t>
            </w:r>
            <w:r w:rsidR="00CE7806">
              <w:rPr>
                <w:b/>
                <w:i/>
                <w:sz w:val="32"/>
                <w:szCs w:val="32"/>
              </w:rPr>
              <w:t>2020</w:t>
            </w:r>
            <w:bookmarkStart w:id="0" w:name="_GoBack"/>
            <w:bookmarkEnd w:id="0"/>
          </w:p>
          <w:p w:rsidR="00C2694E" w:rsidRPr="00920659" w:rsidRDefault="00C2694E" w:rsidP="00C2694E">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C2694E" w:rsidRPr="00920659" w:rsidTr="004D2B43">
        <w:trPr>
          <w:cantSplit/>
          <w:trHeight w:val="490"/>
        </w:trPr>
        <w:tc>
          <w:tcPr>
            <w:tcW w:w="10758"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C2694E" w:rsidRPr="001208AC" w:rsidRDefault="00C2694E" w:rsidP="00C2694E">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lang w:val="en-US"/>
        </w:rPr>
      </w:pPr>
    </w:p>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Pr="00920659">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1" w:name="__RefHeading___Toc229_1659156176"/>
      <w:bookmarkStart w:id="2" w:name="__RefHeading___Toc231_1659156176"/>
      <w:bookmarkStart w:id="3" w:name="__RefHeading___Toc233_1659156176"/>
      <w:bookmarkStart w:id="4" w:name="_Toc175165"/>
      <w:bookmarkStart w:id="5" w:name="_Toc2584669"/>
      <w:bookmarkEnd w:id="1"/>
      <w:bookmarkEnd w:id="2"/>
      <w:bookmarkEnd w:id="3"/>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C541E0">
      <w:pPr>
        <w:pBdr>
          <w:top w:val="single" w:sz="1" w:space="1" w:color="000000"/>
          <w:left w:val="single" w:sz="1" w:space="0"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F104E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CF2FF8"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Κωδικός  Αναθέτουσας Αρχής / Αναθέτοντα </w:t>
            </w:r>
            <w:r w:rsidR="00CF2FF8">
              <w:rPr>
                <w:rFonts w:ascii="Calibri" w:eastAsia="Times New Roman" w:hAnsi="Calibri" w:cs="Calibri"/>
                <w:kern w:val="1"/>
                <w:lang w:eastAsia="zh-CN"/>
              </w:rPr>
              <w:t>Φορέα</w:t>
            </w:r>
            <w:r w:rsidR="00CF2FF8" w:rsidRPr="00CF2FF8">
              <w:rPr>
                <w:rFonts w:ascii="Calibri" w:eastAsia="Times New Roman" w:hAnsi="Calibri" w:cs="Calibri"/>
                <w:kern w:val="1"/>
                <w:lang w:eastAsia="zh-CN"/>
              </w:rPr>
              <w:t>:</w:t>
            </w:r>
            <w:r w:rsidR="00CF2FF8">
              <w:rPr>
                <w:rFonts w:ascii="Calibri" w:eastAsia="Times New Roman" w:hAnsi="Calibri" w:cs="Calibri"/>
                <w:kern w:val="1"/>
                <w:lang w:eastAsia="zh-CN"/>
              </w:rPr>
              <w:t xml:space="preserve"> ΒΟΥΛΗ ΤΩΝ ΕΛΛΗΝΩΝ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9157F7">
              <w:rPr>
                <w:rFonts w:ascii="Calibri" w:eastAsia="Times New Roman" w:hAnsi="Calibri" w:cs="Calibri"/>
                <w:b/>
                <w:kern w:val="1"/>
                <w:lang w:eastAsia="zh-CN"/>
              </w:rPr>
              <w:t xml:space="preserve">Δ/νση </w:t>
            </w:r>
            <w:r w:rsidR="00EC3AFB">
              <w:rPr>
                <w:rFonts w:ascii="Calibri" w:eastAsia="Times New Roman" w:hAnsi="Calibri" w:cs="Calibri"/>
                <w:b/>
                <w:kern w:val="1"/>
                <w:lang w:eastAsia="zh-CN"/>
              </w:rPr>
              <w:t>Προμηθειών και Διαχείρισης Υλικού</w:t>
            </w:r>
            <w:r w:rsidR="009157F7">
              <w:rPr>
                <w:rFonts w:ascii="Calibri" w:eastAsia="Times New Roman" w:hAnsi="Calibri" w:cs="Calibri"/>
                <w:b/>
                <w:kern w:val="1"/>
                <w:lang w:eastAsia="zh-CN"/>
              </w:rPr>
              <w:t xml:space="preserve"> (κ</w:t>
            </w:r>
            <w:r w:rsidR="00EB73AA">
              <w:rPr>
                <w:rFonts w:ascii="Calibri" w:eastAsia="Times New Roman" w:hAnsi="Calibri" w:cs="Calibri"/>
                <w:b/>
                <w:kern w:val="1"/>
                <w:lang w:eastAsia="zh-CN"/>
              </w:rPr>
              <w:t>.</w:t>
            </w:r>
            <w:r w:rsidR="009157F7">
              <w:rPr>
                <w:rFonts w:ascii="Calibri" w:eastAsia="Times New Roman" w:hAnsi="Calibri" w:cs="Calibri"/>
                <w:b/>
                <w:kern w:val="1"/>
                <w:lang w:eastAsia="zh-CN"/>
              </w:rPr>
              <w:t xml:space="preserve"> </w:t>
            </w:r>
            <w:r w:rsidR="00EC3AFB">
              <w:rPr>
                <w:rFonts w:ascii="Calibri" w:eastAsia="Times New Roman" w:hAnsi="Calibri" w:cs="Calibri"/>
                <w:b/>
                <w:kern w:val="1"/>
                <w:lang w:eastAsia="zh-CN"/>
              </w:rPr>
              <w:t>Σιάσος Σπυρίδωνας &amp; κ. Μοσχόπουλος Δημήτριος</w:t>
            </w:r>
            <w:r w:rsidR="009157F7">
              <w:rPr>
                <w:rFonts w:ascii="Calibri" w:eastAsia="Times New Roman" w:hAnsi="Calibri" w:cs="Calibri"/>
                <w:b/>
                <w:kern w:val="1"/>
                <w:lang w:eastAsia="zh-CN"/>
              </w:rPr>
              <w:t>)</w:t>
            </w:r>
            <w:r w:rsidRPr="00920659">
              <w:rPr>
                <w:rFonts w:ascii="Calibri" w:eastAsia="Times New Roman" w:hAnsi="Calibri" w:cs="Calibri"/>
                <w:b/>
                <w:kern w:val="1"/>
                <w:lang w:eastAsia="zh-CN"/>
              </w:rPr>
              <w:t>, Για διαδικαστικά ζητήματα: Τμήμα Προμηθειών της ΒτΕ (κ</w:t>
            </w:r>
            <w:r w:rsidR="00EC3AFB">
              <w:rPr>
                <w:rFonts w:ascii="Calibri" w:eastAsia="Times New Roman" w:hAnsi="Calibri" w:cs="Calibri"/>
                <w:b/>
                <w:kern w:val="1"/>
                <w:lang w:eastAsia="zh-CN"/>
              </w:rPr>
              <w:t>.</w:t>
            </w:r>
            <w:r w:rsidRPr="00920659">
              <w:rPr>
                <w:rFonts w:ascii="Calibri" w:eastAsia="Times New Roman" w:hAnsi="Calibri" w:cs="Calibri"/>
                <w:b/>
                <w:kern w:val="1"/>
                <w:lang w:eastAsia="zh-CN"/>
              </w:rPr>
              <w:t xml:space="preserve"> </w:t>
            </w:r>
            <w:r w:rsidR="00EC3AFB">
              <w:rPr>
                <w:rFonts w:ascii="Calibri" w:eastAsia="Times New Roman" w:hAnsi="Calibri" w:cs="Calibri"/>
                <w:b/>
                <w:kern w:val="1"/>
                <w:lang w:eastAsia="zh-CN"/>
              </w:rPr>
              <w:t xml:space="preserve">Σκανδαλάκης </w:t>
            </w:r>
            <w:r w:rsidR="00213D93">
              <w:rPr>
                <w:rFonts w:ascii="Calibri" w:eastAsia="Times New Roman" w:hAnsi="Calibri" w:cs="Calibri"/>
                <w:b/>
                <w:kern w:val="1"/>
                <w:lang w:eastAsia="zh-CN"/>
              </w:rPr>
              <w:t>Αντ</w:t>
            </w:r>
            <w:r w:rsidR="00EC3AFB">
              <w:rPr>
                <w:rFonts w:ascii="Calibri" w:eastAsia="Times New Roman" w:hAnsi="Calibri" w:cs="Calibri"/>
                <w:b/>
                <w:kern w:val="1"/>
                <w:lang w:eastAsia="zh-CN"/>
              </w:rPr>
              <w:t>ώνιος</w:t>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Τηλέφωνο: </w:t>
            </w:r>
            <w:r w:rsidRPr="0016475C">
              <w:rPr>
                <w:rFonts w:ascii="Calibri" w:eastAsia="Times New Roman" w:hAnsi="Calibri" w:cs="Calibri"/>
                <w:kern w:val="1"/>
                <w:lang w:eastAsia="zh-CN"/>
              </w:rPr>
              <w:t>[</w:t>
            </w:r>
            <w:r w:rsidR="00FA3DA3" w:rsidRPr="0016475C">
              <w:rPr>
                <w:rFonts w:ascii="Calibri" w:eastAsia="Times New Roman" w:hAnsi="Calibri" w:cs="Calibri"/>
                <w:b/>
                <w:kern w:val="1"/>
                <w:lang w:eastAsia="zh-CN"/>
              </w:rPr>
              <w:t>210</w:t>
            </w:r>
            <w:r w:rsidR="00DD5657">
              <w:rPr>
                <w:rFonts w:ascii="Calibri" w:eastAsia="Times New Roman" w:hAnsi="Calibri" w:cs="Calibri"/>
                <w:b/>
                <w:kern w:val="1"/>
                <w:lang w:eastAsia="zh-CN"/>
              </w:rPr>
              <w:t>-</w:t>
            </w:r>
            <w:r w:rsidR="00EB73AA">
              <w:rPr>
                <w:rFonts w:ascii="Calibri" w:eastAsia="Times New Roman" w:hAnsi="Calibri" w:cs="Calibri"/>
                <w:b/>
                <w:kern w:val="1"/>
                <w:lang w:eastAsia="zh-CN"/>
              </w:rPr>
              <w:t>3</w:t>
            </w:r>
            <w:r w:rsidR="00EC3AFB">
              <w:rPr>
                <w:rFonts w:ascii="Calibri" w:eastAsia="Times New Roman" w:hAnsi="Calibri" w:cs="Calibri"/>
                <w:b/>
                <w:kern w:val="1"/>
                <w:lang w:eastAsia="zh-CN"/>
              </w:rPr>
              <w:t xml:space="preserve">69 </w:t>
            </w:r>
            <w:r w:rsidR="006E229C">
              <w:rPr>
                <w:rFonts w:ascii="Calibri" w:eastAsia="Times New Roman" w:hAnsi="Calibri" w:cs="Calibri"/>
                <w:b/>
                <w:kern w:val="1"/>
                <w:lang w:eastAsia="zh-CN"/>
              </w:rPr>
              <w:t>2461 &amp; 2464</w:t>
            </w:r>
            <w:r w:rsidRPr="00920659">
              <w:rPr>
                <w:rFonts w:ascii="Calibri" w:eastAsia="Times New Roman" w:hAnsi="Calibri" w:cs="Calibri"/>
                <w:b/>
                <w:kern w:val="1"/>
                <w:lang w:eastAsia="zh-CN"/>
              </w:rPr>
              <w:t xml:space="preserve"> και 210-369</w:t>
            </w:r>
            <w:r w:rsidR="006E229C">
              <w:rPr>
                <w:rFonts w:ascii="Calibri" w:eastAsia="Times New Roman" w:hAnsi="Calibri" w:cs="Calibri"/>
                <w:b/>
                <w:kern w:val="1"/>
                <w:lang w:eastAsia="zh-CN"/>
              </w:rPr>
              <w:t xml:space="preserve"> </w:t>
            </w:r>
            <w:r w:rsidRPr="00920659">
              <w:rPr>
                <w:rFonts w:ascii="Calibri" w:eastAsia="Times New Roman" w:hAnsi="Calibri" w:cs="Calibri"/>
                <w:b/>
                <w:kern w:val="1"/>
                <w:lang w:eastAsia="zh-CN"/>
              </w:rPr>
              <w:t>2</w:t>
            </w:r>
            <w:r w:rsidR="006E229C">
              <w:rPr>
                <w:rFonts w:ascii="Calibri" w:eastAsia="Times New Roman" w:hAnsi="Calibri" w:cs="Calibri"/>
                <w:b/>
                <w:kern w:val="1"/>
                <w:lang w:eastAsia="zh-CN"/>
              </w:rPr>
              <w:t>125</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Ηλ. ταχυδρομείο: </w:t>
            </w:r>
            <w:r w:rsidRPr="0016475C">
              <w:rPr>
                <w:rFonts w:ascii="Calibri" w:eastAsia="Times New Roman" w:hAnsi="Calibri" w:cs="Calibri"/>
                <w:kern w:val="1"/>
                <w:lang w:eastAsia="zh-CN"/>
              </w:rPr>
              <w:t>[</w:t>
            </w:r>
            <w:r w:rsidR="006E229C">
              <w:rPr>
                <w:rFonts w:ascii="Calibri" w:eastAsia="Times New Roman" w:hAnsi="Calibri" w:cs="Calibri"/>
                <w:kern w:val="1"/>
                <w:lang w:val="en-US" w:eastAsia="zh-CN"/>
              </w:rPr>
              <w:t>s</w:t>
            </w:r>
            <w:r w:rsidR="006E229C" w:rsidRPr="006E229C">
              <w:rPr>
                <w:rFonts w:ascii="Calibri" w:eastAsia="Times New Roman" w:hAnsi="Calibri" w:cs="Calibri"/>
                <w:kern w:val="1"/>
                <w:lang w:eastAsia="zh-CN"/>
              </w:rPr>
              <w:t>.</w:t>
            </w:r>
            <w:r w:rsidR="006E229C">
              <w:rPr>
                <w:rFonts w:ascii="Calibri" w:eastAsia="Times New Roman" w:hAnsi="Calibri" w:cs="Calibri"/>
                <w:kern w:val="1"/>
                <w:lang w:val="en-US" w:eastAsia="zh-CN"/>
              </w:rPr>
              <w:t>siasos</w:t>
            </w:r>
            <w:r w:rsidR="006E229C" w:rsidRPr="006E229C">
              <w:rPr>
                <w:rFonts w:ascii="Calibri" w:eastAsia="Times New Roman" w:hAnsi="Calibri" w:cs="Calibri"/>
                <w:kern w:val="1"/>
                <w:lang w:eastAsia="zh-CN"/>
              </w:rPr>
              <w:t>@</w:t>
            </w:r>
            <w:r w:rsidR="006E229C">
              <w:rPr>
                <w:rFonts w:ascii="Calibri" w:eastAsia="Times New Roman" w:hAnsi="Calibri" w:cs="Calibri"/>
                <w:kern w:val="1"/>
                <w:lang w:val="en-US" w:eastAsia="zh-CN"/>
              </w:rPr>
              <w:t>parliament</w:t>
            </w:r>
            <w:r w:rsidR="006E229C" w:rsidRPr="006E229C">
              <w:rPr>
                <w:rFonts w:ascii="Calibri" w:eastAsia="Times New Roman" w:hAnsi="Calibri" w:cs="Calibri"/>
                <w:kern w:val="1"/>
                <w:lang w:eastAsia="zh-CN"/>
              </w:rPr>
              <w:t>.</w:t>
            </w:r>
            <w:r w:rsidR="006E229C">
              <w:rPr>
                <w:rFonts w:ascii="Calibri" w:eastAsia="Times New Roman" w:hAnsi="Calibri" w:cs="Calibri"/>
                <w:kern w:val="1"/>
                <w:lang w:val="en-US" w:eastAsia="zh-CN"/>
              </w:rPr>
              <w:t>gr</w:t>
            </w:r>
            <w:r w:rsidR="006E229C" w:rsidRPr="006E229C">
              <w:rPr>
                <w:rFonts w:ascii="Calibri" w:eastAsia="Times New Roman" w:hAnsi="Calibri" w:cs="Calibri"/>
                <w:kern w:val="1"/>
                <w:lang w:eastAsia="zh-CN"/>
              </w:rPr>
              <w:t xml:space="preserve"> &amp; </w:t>
            </w:r>
            <w:r w:rsidR="006E229C">
              <w:rPr>
                <w:rFonts w:ascii="Calibri" w:eastAsia="Times New Roman" w:hAnsi="Calibri" w:cs="Calibri"/>
                <w:kern w:val="1"/>
                <w:lang w:val="en-US" w:eastAsia="zh-CN"/>
              </w:rPr>
              <w:t>d</w:t>
            </w:r>
            <w:r w:rsidR="006E229C">
              <w:rPr>
                <w:rFonts w:ascii="Calibri" w:eastAsia="Times New Roman" w:hAnsi="Calibri" w:cs="Calibri"/>
                <w:kern w:val="1"/>
                <w:lang w:eastAsia="zh-CN"/>
              </w:rPr>
              <w:t>.moshopoulos</w:t>
            </w:r>
            <w:r w:rsidR="00AE6FE1" w:rsidRPr="00AE6FE1">
              <w:rPr>
                <w:rFonts w:ascii="Cambria" w:eastAsia="Times New Roman" w:hAnsi="Cambria" w:cs="Calibri"/>
                <w:sz w:val="24"/>
                <w:szCs w:val="24"/>
                <w:lang w:eastAsia="zh-CN"/>
              </w:rPr>
              <w:t>@</w:t>
            </w:r>
            <w:r w:rsidR="00AE6FE1">
              <w:rPr>
                <w:rFonts w:ascii="Cambria" w:eastAsia="Times New Roman" w:hAnsi="Cambria" w:cs="Calibri"/>
                <w:sz w:val="24"/>
                <w:szCs w:val="24"/>
                <w:lang w:val="en-US" w:eastAsia="zh-CN"/>
              </w:rPr>
              <w:t>parliament</w:t>
            </w:r>
            <w:r w:rsidR="00AE6FE1" w:rsidRPr="00AE6FE1">
              <w:rPr>
                <w:rFonts w:ascii="Cambria" w:eastAsia="Times New Roman" w:hAnsi="Cambria" w:cs="Calibri"/>
                <w:sz w:val="24"/>
                <w:szCs w:val="24"/>
                <w:lang w:eastAsia="zh-CN"/>
              </w:rPr>
              <w:t>.</w:t>
            </w:r>
            <w:r w:rsidR="00AE6FE1">
              <w:rPr>
                <w:rFonts w:ascii="Cambria" w:eastAsia="Times New Roman" w:hAnsi="Cambria" w:cs="Calibri"/>
                <w:sz w:val="24"/>
                <w:szCs w:val="24"/>
                <w:lang w:val="en-US" w:eastAsia="zh-CN"/>
              </w:rPr>
              <w:t>gr</w:t>
            </w:r>
            <w:r w:rsidR="00DD5657" w:rsidRPr="00920659">
              <w:rPr>
                <w:rFonts w:ascii="Calibri" w:eastAsia="Times New Roman" w:hAnsi="Calibri" w:cs="Calibri"/>
                <w:kern w:val="1"/>
                <w:lang w:eastAsia="zh-CN"/>
              </w:rPr>
              <w:t xml:space="preserve"> </w:t>
            </w:r>
            <w:r w:rsidRPr="00920659">
              <w:rPr>
                <w:rFonts w:ascii="Calibri" w:eastAsia="Times New Roman" w:hAnsi="Calibri" w:cs="Calibri"/>
                <w:kern w:val="1"/>
                <w:lang w:eastAsia="zh-CN"/>
              </w:rPr>
              <w:t xml:space="preserve">&amp; </w:t>
            </w:r>
            <w:r w:rsidRPr="00920659">
              <w:rPr>
                <w:rFonts w:ascii="Calibri" w:eastAsia="Times New Roman" w:hAnsi="Calibri" w:cs="Calibri"/>
                <w:kern w:val="1"/>
                <w:lang w:val="en-US" w:eastAsia="zh-CN"/>
              </w:rPr>
              <w:t>promithies</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9"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F104E8">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D37D8D" w:rsidRDefault="00920659" w:rsidP="00F104E8">
            <w:pPr>
              <w:pStyle w:val="Default"/>
              <w:rPr>
                <w:rFonts w:eastAsia="Times New Roman"/>
                <w:b/>
                <w:bCs/>
                <w:color w:val="00000A"/>
                <w:kern w:val="1"/>
                <w:lang w:eastAsia="zh-CN"/>
              </w:rPr>
            </w:pPr>
            <w:r w:rsidRPr="00920659">
              <w:rPr>
                <w:rFonts w:eastAsia="Times New Roman"/>
                <w:color w:val="00000A"/>
                <w:kern w:val="1"/>
                <w:lang w:eastAsia="zh-CN"/>
              </w:rPr>
              <w:t xml:space="preserve">- Τίτλος ή σύντομη περιγραφή της δημόσιας σύμβασης (συμπεριλαμβανομένου του σχετικού </w:t>
            </w:r>
            <w:r w:rsidRPr="00920659">
              <w:rPr>
                <w:rFonts w:eastAsia="Times New Roman"/>
                <w:color w:val="00000A"/>
                <w:kern w:val="1"/>
                <w:lang w:val="en-US" w:eastAsia="zh-CN"/>
              </w:rPr>
              <w:t>CPV</w:t>
            </w:r>
            <w:r w:rsidRPr="00920659">
              <w:rPr>
                <w:rFonts w:eastAsia="Times New Roman"/>
                <w:color w:val="00000A"/>
                <w:kern w:val="1"/>
                <w:lang w:eastAsia="zh-CN"/>
              </w:rPr>
              <w:t>): [</w:t>
            </w:r>
            <w:r w:rsidRPr="00817C07">
              <w:rPr>
                <w:rFonts w:eastAsia="Times New Roman"/>
                <w:b/>
                <w:color w:val="00000A"/>
                <w:kern w:val="1"/>
                <w:lang w:eastAsia="zh-CN"/>
              </w:rPr>
              <w:t>Συνοπτικός Διαγωνισμός για</w:t>
            </w:r>
            <w:r w:rsidR="00AD47E4">
              <w:rPr>
                <w:rFonts w:eastAsia="Times New Roman"/>
                <w:b/>
                <w:color w:val="00000A"/>
                <w:kern w:val="1"/>
                <w:lang w:eastAsia="zh-CN"/>
              </w:rPr>
              <w:t xml:space="preserve"> την</w:t>
            </w:r>
            <w:r w:rsidR="006F57FA" w:rsidRPr="006F57FA">
              <w:rPr>
                <w:rFonts w:eastAsia="Times New Roman"/>
                <w:b/>
                <w:color w:val="00000A"/>
                <w:kern w:val="1"/>
                <w:lang w:eastAsia="zh-CN"/>
              </w:rPr>
              <w:t xml:space="preserve"> </w:t>
            </w:r>
            <w:r w:rsidR="006F57FA">
              <w:rPr>
                <w:rFonts w:eastAsia="Times New Roman"/>
                <w:b/>
                <w:color w:val="00000A"/>
                <w:kern w:val="1"/>
                <w:lang w:eastAsia="zh-CN"/>
              </w:rPr>
              <w:t>προμήθεια διακοσίων (200) τμχ. αλεξίσφαιρων γιλέκων για την κάλυψη των αναγκών του προσωπικού της Υ.Α.Β.Ε</w:t>
            </w:r>
            <w:r w:rsidR="00AD47E4">
              <w:rPr>
                <w:rFonts w:ascii="Cambria" w:hAnsi="Cambria"/>
              </w:rPr>
              <w:t>.</w:t>
            </w:r>
            <w:r w:rsidR="00AD47E4">
              <w:rPr>
                <w:rFonts w:eastAsia="Times New Roman"/>
                <w:b/>
                <w:bCs/>
                <w:color w:val="00000A"/>
                <w:kern w:val="1"/>
                <w:lang w:eastAsia="zh-CN"/>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120"/>
            </w:tblGrid>
            <w:tr w:rsidR="00F104E8" w:rsidRPr="00F104E8" w:rsidTr="00D37D8D">
              <w:trPr>
                <w:trHeight w:val="309"/>
              </w:trPr>
              <w:tc>
                <w:tcPr>
                  <w:tcW w:w="5120" w:type="dxa"/>
                </w:tcPr>
                <w:p w:rsidR="00F104E8" w:rsidRPr="00F104E8" w:rsidRDefault="00F104E8" w:rsidP="006F57FA">
                  <w:pPr>
                    <w:autoSpaceDE w:val="0"/>
                    <w:autoSpaceDN w:val="0"/>
                    <w:adjustRightInd w:val="0"/>
                    <w:spacing w:after="0" w:line="240" w:lineRule="auto"/>
                    <w:rPr>
                      <w:rFonts w:ascii="Calibri" w:hAnsi="Calibri" w:cs="Calibri"/>
                      <w:color w:val="000000"/>
                      <w:sz w:val="23"/>
                      <w:szCs w:val="23"/>
                    </w:rPr>
                  </w:pPr>
                  <w:r w:rsidRPr="00F104E8">
                    <w:rPr>
                      <w:rFonts w:ascii="Calibri" w:hAnsi="Calibri" w:cs="Calibri"/>
                      <w:color w:val="000000"/>
                      <w:sz w:val="24"/>
                      <w:szCs w:val="24"/>
                    </w:rPr>
                    <w:t xml:space="preserve"> </w:t>
                  </w:r>
                  <w:r w:rsidR="006F57FA" w:rsidRPr="006F57FA">
                    <w:rPr>
                      <w:rFonts w:ascii="Calibri" w:hAnsi="Calibri" w:cs="Calibri"/>
                      <w:color w:val="000000"/>
                      <w:sz w:val="24"/>
                      <w:szCs w:val="24"/>
                    </w:rPr>
                    <w:t>18110000-3/009 (Ρουχισμός επαγγελματικής</w:t>
                  </w:r>
                  <w:r w:rsidR="006F57FA">
                    <w:rPr>
                      <w:rFonts w:ascii="Calibri" w:hAnsi="Calibri" w:cs="Calibri"/>
                      <w:color w:val="000000"/>
                      <w:sz w:val="24"/>
                      <w:szCs w:val="24"/>
                    </w:rPr>
                    <w:t xml:space="preserve"> </w:t>
                  </w:r>
                  <w:r w:rsidR="006F57FA" w:rsidRPr="006F57FA">
                    <w:rPr>
                      <w:rFonts w:ascii="Calibri" w:hAnsi="Calibri" w:cs="Calibri"/>
                      <w:color w:val="000000"/>
                      <w:sz w:val="24"/>
                      <w:szCs w:val="24"/>
                    </w:rPr>
                    <w:t>χρήσης)</w:t>
                  </w:r>
                </w:p>
              </w:tc>
            </w:tr>
          </w:tbl>
          <w:p w:rsidR="003443A1" w:rsidRPr="00D84CFF" w:rsidRDefault="003443A1" w:rsidP="003443A1">
            <w:pPr>
              <w:suppressAutoHyphens/>
              <w:spacing w:after="0" w:line="240" w:lineRule="auto"/>
              <w:textAlignment w:val="baseline"/>
              <w:rPr>
                <w:rFonts w:ascii="Calibri" w:eastAsia="Times New Roman" w:hAnsi="Calibri" w:cs="Calibri"/>
                <w:b/>
                <w:bCs/>
                <w:color w:val="00000A"/>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6F57FA">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6F57FA" w:rsidRPr="006F57FA">
              <w:rPr>
                <w:rFonts w:ascii="Calibri" w:eastAsia="Times New Roman" w:hAnsi="Calibri" w:cs="Calibri"/>
                <w:b/>
                <w:kern w:val="1"/>
                <w:lang w:eastAsia="zh-CN"/>
              </w:rPr>
              <w:t>8055/5498/01.07.2020 (ΑΔΑ: 05-06ΙΟ)</w:t>
            </w:r>
            <w:r w:rsidRPr="00AE0CFF">
              <w:rPr>
                <w:rFonts w:ascii="Calibri" w:eastAsia="Times New Roman" w:hAnsi="Calibri" w:cs="Calibri"/>
                <w:kern w:val="1"/>
                <w:lang w:eastAsia="zh-CN"/>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F104E8">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F104E8">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F104E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F104E8">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F104E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F104E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F104E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F104E8">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F104E8">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F104E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F104E8">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F104E8">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F104E8">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F104E8">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104E8" w:rsidRDefault="00F104E8"/>
    <w:sectPr w:rsidR="00F104E8" w:rsidSect="00F104E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CD" w:rsidRDefault="004030CD" w:rsidP="00920659">
      <w:pPr>
        <w:spacing w:after="0" w:line="240" w:lineRule="auto"/>
      </w:pPr>
      <w:r>
        <w:separator/>
      </w:r>
    </w:p>
  </w:endnote>
  <w:endnote w:type="continuationSeparator" w:id="0">
    <w:p w:rsidR="004030CD" w:rsidRDefault="004030CD" w:rsidP="00920659">
      <w:pPr>
        <w:spacing w:after="0" w:line="240" w:lineRule="auto"/>
      </w:pPr>
      <w:r>
        <w:continuationSeparator/>
      </w:r>
    </w:p>
  </w:endnote>
  <w:endnote w:id="1">
    <w:p w:rsidR="00F104E8" w:rsidRPr="009E70F1" w:rsidRDefault="00F104E8"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F104E8" w:rsidRPr="00524127" w:rsidRDefault="00F104E8"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F104E8" w:rsidRPr="00524127" w:rsidRDefault="00F104E8"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04E8" w:rsidRPr="00524127" w:rsidRDefault="00F104E8"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04E8" w:rsidRPr="00524127" w:rsidRDefault="00F104E8"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04E8" w:rsidRPr="00524127" w:rsidRDefault="00F104E8"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F104E8" w:rsidRPr="00524127" w:rsidRDefault="00F104E8"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F104E8" w:rsidRPr="00524127" w:rsidRDefault="00F104E8"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F104E8" w:rsidRPr="00524127" w:rsidRDefault="00F104E8"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F104E8" w:rsidRPr="00524127" w:rsidRDefault="00F104E8"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104E8" w:rsidRPr="00524127" w:rsidRDefault="00F104E8"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F104E8" w:rsidRPr="00524127" w:rsidRDefault="00F104E8"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F104E8" w:rsidRPr="00524127" w:rsidRDefault="00F104E8"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F104E8" w:rsidRPr="00524127" w:rsidRDefault="00F104E8"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F104E8" w:rsidRPr="00524127" w:rsidRDefault="00F104E8"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104E8" w:rsidRPr="00524127" w:rsidRDefault="00F104E8"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104E8" w:rsidRPr="00524127" w:rsidRDefault="00F104E8"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104E8" w:rsidRPr="00524127" w:rsidRDefault="00F104E8"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104E8" w:rsidRPr="00524127" w:rsidRDefault="00F104E8" w:rsidP="00920659">
      <w:pPr>
        <w:pStyle w:val="a3"/>
        <w:tabs>
          <w:tab w:val="left" w:pos="284"/>
        </w:tabs>
      </w:pPr>
      <w:r>
        <w:rPr>
          <w:rStyle w:val="a7"/>
        </w:rPr>
        <w:endnoteRef/>
      </w:r>
      <w:r w:rsidRPr="00524127">
        <w:tab/>
        <w:t>Επαναλάβετε όσες φορές χρειάζεται.</w:t>
      </w:r>
    </w:p>
  </w:endnote>
  <w:endnote w:id="17">
    <w:p w:rsidR="00F104E8" w:rsidRPr="00524127" w:rsidRDefault="00F104E8" w:rsidP="00920659">
      <w:pPr>
        <w:pStyle w:val="a3"/>
        <w:tabs>
          <w:tab w:val="left" w:pos="284"/>
        </w:tabs>
      </w:pPr>
      <w:r>
        <w:rPr>
          <w:rStyle w:val="a7"/>
        </w:rPr>
        <w:endnoteRef/>
      </w:r>
      <w:r w:rsidRPr="00524127">
        <w:tab/>
        <w:t>Επαναλάβετε όσες φορές χρειάζεται.</w:t>
      </w:r>
    </w:p>
  </w:endnote>
  <w:endnote w:id="18">
    <w:p w:rsidR="00F104E8" w:rsidRPr="00524127" w:rsidRDefault="00F104E8" w:rsidP="00920659">
      <w:pPr>
        <w:pStyle w:val="a3"/>
        <w:tabs>
          <w:tab w:val="left" w:pos="284"/>
        </w:tabs>
      </w:pPr>
      <w:r>
        <w:rPr>
          <w:rStyle w:val="a7"/>
        </w:rPr>
        <w:endnoteRef/>
      </w:r>
      <w:r w:rsidRPr="00524127">
        <w:tab/>
        <w:t>Επαναλάβετε όσες φορές χρειάζεται.</w:t>
      </w:r>
    </w:p>
  </w:endnote>
  <w:endnote w:id="19">
    <w:p w:rsidR="00F104E8" w:rsidRPr="00524127" w:rsidRDefault="00F104E8"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104E8" w:rsidRPr="00524127" w:rsidRDefault="00F104E8"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104E8" w:rsidRPr="00524127" w:rsidRDefault="00F104E8"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104E8" w:rsidRPr="00524127" w:rsidRDefault="00F104E8"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104E8" w:rsidRPr="00524127" w:rsidRDefault="00F104E8" w:rsidP="00920659">
      <w:pPr>
        <w:pStyle w:val="a3"/>
        <w:tabs>
          <w:tab w:val="left" w:pos="284"/>
        </w:tabs>
      </w:pPr>
      <w:r>
        <w:rPr>
          <w:rStyle w:val="a7"/>
        </w:rPr>
        <w:endnoteRef/>
      </w:r>
      <w:r w:rsidRPr="00524127">
        <w:tab/>
        <w:t>Επαναλάβετε όσες φορές χρειάζεται.</w:t>
      </w:r>
    </w:p>
  </w:endnote>
  <w:endnote w:id="24">
    <w:p w:rsidR="00F104E8" w:rsidRPr="00524127" w:rsidRDefault="00F104E8"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104E8" w:rsidRPr="00524127" w:rsidRDefault="00F104E8"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F104E8" w:rsidRPr="00524127" w:rsidRDefault="00F104E8" w:rsidP="00920659">
      <w:pPr>
        <w:pStyle w:val="a3"/>
        <w:tabs>
          <w:tab w:val="left" w:pos="284"/>
        </w:tabs>
      </w:pPr>
      <w:r>
        <w:rPr>
          <w:rStyle w:val="a7"/>
        </w:rPr>
        <w:endnoteRef/>
      </w:r>
      <w:r w:rsidRPr="00524127">
        <w:tab/>
        <w:t>Άρθρο 73 παρ. 5.</w:t>
      </w:r>
    </w:p>
  </w:endnote>
  <w:endnote w:id="27">
    <w:p w:rsidR="00F104E8" w:rsidRPr="00524127" w:rsidRDefault="00F104E8"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104E8" w:rsidRPr="00524127" w:rsidRDefault="00F104E8"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F104E8" w:rsidRPr="00524127" w:rsidRDefault="00F104E8" w:rsidP="00920659">
      <w:pPr>
        <w:pStyle w:val="a3"/>
        <w:tabs>
          <w:tab w:val="left" w:pos="284"/>
        </w:tabs>
      </w:pPr>
      <w:r>
        <w:rPr>
          <w:rStyle w:val="a7"/>
        </w:rPr>
        <w:endnoteRef/>
      </w:r>
      <w:r w:rsidRPr="00524127">
        <w:tab/>
        <w:t>Πρβλ άρθρο 48.</w:t>
      </w:r>
    </w:p>
  </w:endnote>
  <w:endnote w:id="30">
    <w:p w:rsidR="00F104E8" w:rsidRPr="00524127" w:rsidRDefault="00F104E8"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F104E8" w:rsidRPr="00D979A9" w:rsidRDefault="00F104E8"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104E8" w:rsidRPr="00524127" w:rsidRDefault="00F104E8" w:rsidP="00920659">
      <w:pPr>
        <w:pStyle w:val="a3"/>
        <w:tabs>
          <w:tab w:val="left" w:pos="284"/>
        </w:tabs>
      </w:pPr>
      <w:r>
        <w:rPr>
          <w:rStyle w:val="a7"/>
        </w:rPr>
        <w:endnoteRef/>
      </w:r>
      <w:r w:rsidRPr="00524127">
        <w:tab/>
        <w:t>Πρβλ και άρθρο 1 ν. 4250/2014</w:t>
      </w:r>
    </w:p>
  </w:endnote>
  <w:endnote w:id="33">
    <w:p w:rsidR="00F104E8" w:rsidRDefault="00F104E8"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a3"/>
        <w:tabs>
          <w:tab w:val="left" w:pos="284"/>
        </w:tabs>
      </w:pPr>
    </w:p>
    <w:p w:rsidR="00F104E8" w:rsidRDefault="00F104E8" w:rsidP="00920659">
      <w:pPr>
        <w:pStyle w:val="2"/>
        <w:tabs>
          <w:tab w:val="left" w:pos="0"/>
        </w:tabs>
        <w:spacing w:before="0" w:line="360" w:lineRule="auto"/>
        <w:jc w:val="both"/>
        <w:rPr>
          <w:b/>
          <w:u w:val="single"/>
        </w:rPr>
      </w:pPr>
    </w:p>
    <w:p w:rsidR="00F104E8" w:rsidRPr="00524127" w:rsidRDefault="00F104E8"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F104E8" w:rsidRDefault="00F104E8">
        <w:pPr>
          <w:pStyle w:val="a5"/>
          <w:jc w:val="right"/>
        </w:pPr>
        <w:r>
          <w:rPr>
            <w:noProof/>
          </w:rPr>
          <w:fldChar w:fldCharType="begin"/>
        </w:r>
        <w:r>
          <w:rPr>
            <w:noProof/>
          </w:rPr>
          <w:instrText>PAGE   \* MERGEFORMAT</w:instrText>
        </w:r>
        <w:r>
          <w:rPr>
            <w:noProof/>
          </w:rPr>
          <w:fldChar w:fldCharType="separate"/>
        </w:r>
        <w:r w:rsidR="00CE7806">
          <w:rPr>
            <w:noProof/>
          </w:rPr>
          <w:t>21</w:t>
        </w:r>
        <w:r>
          <w:rPr>
            <w:noProof/>
          </w:rPr>
          <w:fldChar w:fldCharType="end"/>
        </w:r>
      </w:p>
    </w:sdtContent>
  </w:sdt>
  <w:p w:rsidR="00F104E8" w:rsidRDefault="00F104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CD" w:rsidRDefault="004030CD" w:rsidP="00920659">
      <w:pPr>
        <w:spacing w:after="0" w:line="240" w:lineRule="auto"/>
      </w:pPr>
      <w:r>
        <w:separator/>
      </w:r>
    </w:p>
  </w:footnote>
  <w:footnote w:type="continuationSeparator" w:id="0">
    <w:p w:rsidR="004030CD" w:rsidRDefault="004030CD"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8" w:rsidRDefault="00F104E8">
    <w:pPr>
      <w:pStyle w:val="a4"/>
    </w:pPr>
  </w:p>
  <w:p w:rsidR="00F104E8" w:rsidRDefault="00F104E8">
    <w:pPr>
      <w:pStyle w:val="a4"/>
    </w:pPr>
  </w:p>
  <w:p w:rsidR="00F104E8" w:rsidRDefault="00F104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0"/>
    <w:lvlOverride w:ilvl="0">
      <w:lvl w:ilvl="0">
        <w:start w:val="1"/>
        <w:numFmt w:val="none"/>
        <w:suff w:val="nothing"/>
        <w:lvlText w:val=""/>
        <w:lvlJc w:val="left"/>
        <w:pPr>
          <w:ind w:left="432" w:hanging="432"/>
        </w:pPr>
        <w:rPr>
          <w:rFonts w:cs="Wingdings" w:hint="default"/>
        </w:rPr>
      </w:lvl>
    </w:lvlOverride>
    <w:lvlOverride w:ilvl="1">
      <w:lvl w:ilvl="1">
        <w:start w:val="1"/>
        <w:numFmt w:val="none"/>
        <w:suff w:val="nothing"/>
        <w:lvlText w:val=""/>
        <w:lvlJc w:val="left"/>
        <w:pPr>
          <w:ind w:left="576" w:hanging="576"/>
        </w:pPr>
        <w:rPr>
          <w:rFonts w:cs="Courier New" w:hint="default"/>
        </w:rPr>
      </w:lvl>
    </w:lvlOverride>
    <w:lvlOverride w:ilvl="2">
      <w:lvl w:ilvl="2">
        <w:start w:val="1"/>
        <w:numFmt w:val="none"/>
        <w:suff w:val="nothing"/>
        <w:lvlText w:val=""/>
        <w:lvlJc w:val="left"/>
        <w:pPr>
          <w:ind w:left="720" w:hanging="720"/>
        </w:pPr>
        <w:rPr>
          <w:rFonts w:hint="default"/>
        </w:rPr>
      </w:lvl>
    </w:lvlOverride>
    <w:lvlOverride w:ilvl="3">
      <w:lvl w:ilvl="3">
        <w:start w:val="1"/>
        <w:numFmt w:val="none"/>
        <w:suff w:val="nothing"/>
        <w:lvlText w:val=""/>
        <w:lvlJc w:val="left"/>
        <w:pPr>
          <w:ind w:left="57" w:hanging="57"/>
        </w:pPr>
        <w:rPr>
          <w:rFonts w:cs="Symbol" w:hint="default"/>
        </w:rPr>
      </w:lvl>
    </w:lvlOverride>
    <w:lvlOverride w:ilvl="4">
      <w:lvl w:ilvl="4">
        <w:start w:val="1"/>
        <w:numFmt w:val="none"/>
        <w:suff w:val="nothing"/>
        <w:lvlText w:val=""/>
        <w:lvlJc w:val="left"/>
        <w:pPr>
          <w:ind w:left="1008" w:hanging="1008"/>
        </w:pPr>
        <w:rPr>
          <w:rFonts w:hint="default"/>
        </w:rPr>
      </w:lvl>
    </w:lvlOverride>
    <w:lvlOverride w:ilvl="5">
      <w:lvl w:ilvl="5">
        <w:start w:val="1"/>
        <w:numFmt w:val="none"/>
        <w:suff w:val="nothing"/>
        <w:lvlText w:val=""/>
        <w:lvlJc w:val="left"/>
        <w:pPr>
          <w:ind w:left="1152" w:hanging="1152"/>
        </w:pPr>
        <w:rPr>
          <w:rFonts w:hint="default"/>
        </w:rPr>
      </w:lvl>
    </w:lvlOverride>
    <w:lvlOverride w:ilvl="6">
      <w:lvl w:ilvl="6">
        <w:start w:val="1"/>
        <w:numFmt w:val="none"/>
        <w:suff w:val="nothing"/>
        <w:lvlText w:val=""/>
        <w:lvlJc w:val="left"/>
        <w:pPr>
          <w:ind w:left="1296" w:hanging="1296"/>
        </w:pPr>
        <w:rPr>
          <w:rFonts w:hint="default"/>
        </w:rPr>
      </w:lvl>
    </w:lvlOverride>
    <w:lvlOverride w:ilvl="7">
      <w:lvl w:ilvl="7">
        <w:start w:val="1"/>
        <w:numFmt w:val="none"/>
        <w:suff w:val="nothing"/>
        <w:lvlText w:val=""/>
        <w:lvlJc w:val="left"/>
        <w:pPr>
          <w:ind w:left="113" w:hanging="113"/>
        </w:pPr>
        <w:rPr>
          <w:rFonts w:hint="default"/>
          <w:b/>
          <w:bCs/>
          <w:spacing w:val="40"/>
          <w:sz w:val="28"/>
          <w:szCs w:val="28"/>
        </w:rPr>
      </w:lvl>
    </w:lvlOverride>
    <w:lvlOverride w:ilvl="8">
      <w:lvl w:ilvl="8">
        <w:start w:val="1"/>
        <w:numFmt w:val="none"/>
        <w:suff w:val="nothing"/>
        <w:lvlText w:val=""/>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0274C"/>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4FA5"/>
    <w:rsid w:val="000460DC"/>
    <w:rsid w:val="0004637B"/>
    <w:rsid w:val="0004691D"/>
    <w:rsid w:val="00046E7B"/>
    <w:rsid w:val="000511D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A29"/>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44CC9"/>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C6045"/>
    <w:rsid w:val="001D7CD1"/>
    <w:rsid w:val="001E0404"/>
    <w:rsid w:val="001E27E4"/>
    <w:rsid w:val="001E2B90"/>
    <w:rsid w:val="001E4DC5"/>
    <w:rsid w:val="001E72A3"/>
    <w:rsid w:val="001E7B22"/>
    <w:rsid w:val="001F1F93"/>
    <w:rsid w:val="001F34C7"/>
    <w:rsid w:val="00204F32"/>
    <w:rsid w:val="002076D2"/>
    <w:rsid w:val="00212A0A"/>
    <w:rsid w:val="002137F7"/>
    <w:rsid w:val="00213D93"/>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14AA"/>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630"/>
    <w:rsid w:val="002F77EE"/>
    <w:rsid w:val="003000E3"/>
    <w:rsid w:val="0030079A"/>
    <w:rsid w:val="00301A49"/>
    <w:rsid w:val="00301CEC"/>
    <w:rsid w:val="00302509"/>
    <w:rsid w:val="00302F98"/>
    <w:rsid w:val="00307071"/>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4A8"/>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729A2"/>
    <w:rsid w:val="00384469"/>
    <w:rsid w:val="00385751"/>
    <w:rsid w:val="00386A9F"/>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02CC"/>
    <w:rsid w:val="00402F15"/>
    <w:rsid w:val="004030CD"/>
    <w:rsid w:val="0040429C"/>
    <w:rsid w:val="00405B8A"/>
    <w:rsid w:val="0040628C"/>
    <w:rsid w:val="004066D9"/>
    <w:rsid w:val="00410059"/>
    <w:rsid w:val="00412E6D"/>
    <w:rsid w:val="00413B66"/>
    <w:rsid w:val="00414919"/>
    <w:rsid w:val="00415613"/>
    <w:rsid w:val="00415769"/>
    <w:rsid w:val="0041670B"/>
    <w:rsid w:val="00421FC7"/>
    <w:rsid w:val="00422539"/>
    <w:rsid w:val="004227D2"/>
    <w:rsid w:val="0042415F"/>
    <w:rsid w:val="00424EFF"/>
    <w:rsid w:val="00426423"/>
    <w:rsid w:val="004267CB"/>
    <w:rsid w:val="0043015A"/>
    <w:rsid w:val="00431756"/>
    <w:rsid w:val="0043296D"/>
    <w:rsid w:val="004329B6"/>
    <w:rsid w:val="00432A04"/>
    <w:rsid w:val="0043666B"/>
    <w:rsid w:val="00436B3A"/>
    <w:rsid w:val="00437A09"/>
    <w:rsid w:val="0044297D"/>
    <w:rsid w:val="00444B01"/>
    <w:rsid w:val="00444F24"/>
    <w:rsid w:val="00444F94"/>
    <w:rsid w:val="0045074F"/>
    <w:rsid w:val="00450D7C"/>
    <w:rsid w:val="00452D7F"/>
    <w:rsid w:val="004557FC"/>
    <w:rsid w:val="00462082"/>
    <w:rsid w:val="00464093"/>
    <w:rsid w:val="00464178"/>
    <w:rsid w:val="00464A52"/>
    <w:rsid w:val="004670B0"/>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0CA"/>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01B4"/>
    <w:rsid w:val="004D279F"/>
    <w:rsid w:val="004D2B43"/>
    <w:rsid w:val="004D316E"/>
    <w:rsid w:val="004D54AE"/>
    <w:rsid w:val="004D54F7"/>
    <w:rsid w:val="004D59D7"/>
    <w:rsid w:val="004D6104"/>
    <w:rsid w:val="004E10B6"/>
    <w:rsid w:val="004E4F7E"/>
    <w:rsid w:val="004E5F30"/>
    <w:rsid w:val="004E7B1C"/>
    <w:rsid w:val="004F5339"/>
    <w:rsid w:val="004F62D2"/>
    <w:rsid w:val="004F6730"/>
    <w:rsid w:val="004F76FC"/>
    <w:rsid w:val="00500F42"/>
    <w:rsid w:val="005033A0"/>
    <w:rsid w:val="0051243E"/>
    <w:rsid w:val="0051385F"/>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4866"/>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29C"/>
    <w:rsid w:val="006E28C6"/>
    <w:rsid w:val="006E4501"/>
    <w:rsid w:val="006E46AF"/>
    <w:rsid w:val="006E5357"/>
    <w:rsid w:val="006E5B78"/>
    <w:rsid w:val="006E5E90"/>
    <w:rsid w:val="006E5F66"/>
    <w:rsid w:val="006E6545"/>
    <w:rsid w:val="006E7E64"/>
    <w:rsid w:val="006F3BF5"/>
    <w:rsid w:val="006F57FA"/>
    <w:rsid w:val="006F5D34"/>
    <w:rsid w:val="00701320"/>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2088C"/>
    <w:rsid w:val="00720FBF"/>
    <w:rsid w:val="0072350D"/>
    <w:rsid w:val="00725FCD"/>
    <w:rsid w:val="0072696C"/>
    <w:rsid w:val="00727AF1"/>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4770"/>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46F5"/>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0EB0"/>
    <w:rsid w:val="008018B7"/>
    <w:rsid w:val="008021A0"/>
    <w:rsid w:val="008022AD"/>
    <w:rsid w:val="00803E3C"/>
    <w:rsid w:val="008057EC"/>
    <w:rsid w:val="00807DBE"/>
    <w:rsid w:val="00811F26"/>
    <w:rsid w:val="008149F0"/>
    <w:rsid w:val="00815874"/>
    <w:rsid w:val="00815C2A"/>
    <w:rsid w:val="0081759E"/>
    <w:rsid w:val="00817C07"/>
    <w:rsid w:val="00822823"/>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A69A7"/>
    <w:rsid w:val="008B15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7F7"/>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10C1"/>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4A53"/>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47E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6FE1"/>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25DD"/>
    <w:rsid w:val="00B35E67"/>
    <w:rsid w:val="00B3658A"/>
    <w:rsid w:val="00B510EB"/>
    <w:rsid w:val="00B521BB"/>
    <w:rsid w:val="00B532DA"/>
    <w:rsid w:val="00B56D8B"/>
    <w:rsid w:val="00B57859"/>
    <w:rsid w:val="00B57E5E"/>
    <w:rsid w:val="00B62D1D"/>
    <w:rsid w:val="00B638AD"/>
    <w:rsid w:val="00B63A1E"/>
    <w:rsid w:val="00B643A8"/>
    <w:rsid w:val="00B66342"/>
    <w:rsid w:val="00B66F5D"/>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BB7"/>
    <w:rsid w:val="00C24D37"/>
    <w:rsid w:val="00C257B3"/>
    <w:rsid w:val="00C25AEE"/>
    <w:rsid w:val="00C2694E"/>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7684"/>
    <w:rsid w:val="00C50740"/>
    <w:rsid w:val="00C527B4"/>
    <w:rsid w:val="00C5307B"/>
    <w:rsid w:val="00C541E0"/>
    <w:rsid w:val="00C5488C"/>
    <w:rsid w:val="00C5512E"/>
    <w:rsid w:val="00C577C7"/>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1CC9"/>
    <w:rsid w:val="00CE225B"/>
    <w:rsid w:val="00CE381F"/>
    <w:rsid w:val="00CE3AD5"/>
    <w:rsid w:val="00CE3ECE"/>
    <w:rsid w:val="00CE567B"/>
    <w:rsid w:val="00CE7806"/>
    <w:rsid w:val="00CE7ABD"/>
    <w:rsid w:val="00CF0299"/>
    <w:rsid w:val="00CF2FF8"/>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37D8D"/>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75B2"/>
    <w:rsid w:val="00DA040B"/>
    <w:rsid w:val="00DA3EAB"/>
    <w:rsid w:val="00DA5288"/>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5657"/>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45A70"/>
    <w:rsid w:val="00E46C8D"/>
    <w:rsid w:val="00E5232F"/>
    <w:rsid w:val="00E52FF6"/>
    <w:rsid w:val="00E54404"/>
    <w:rsid w:val="00E549A9"/>
    <w:rsid w:val="00E553CE"/>
    <w:rsid w:val="00E555A5"/>
    <w:rsid w:val="00E56E13"/>
    <w:rsid w:val="00E57496"/>
    <w:rsid w:val="00E57FAC"/>
    <w:rsid w:val="00E619C8"/>
    <w:rsid w:val="00E61F6D"/>
    <w:rsid w:val="00E64512"/>
    <w:rsid w:val="00E65652"/>
    <w:rsid w:val="00E66606"/>
    <w:rsid w:val="00E66AF1"/>
    <w:rsid w:val="00E67416"/>
    <w:rsid w:val="00E67719"/>
    <w:rsid w:val="00E7096F"/>
    <w:rsid w:val="00E71519"/>
    <w:rsid w:val="00E730CE"/>
    <w:rsid w:val="00E73438"/>
    <w:rsid w:val="00E74BB2"/>
    <w:rsid w:val="00E76308"/>
    <w:rsid w:val="00E76A51"/>
    <w:rsid w:val="00E81052"/>
    <w:rsid w:val="00E82FD5"/>
    <w:rsid w:val="00E84DF4"/>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B73AA"/>
    <w:rsid w:val="00EB7CB1"/>
    <w:rsid w:val="00EC247A"/>
    <w:rsid w:val="00EC247D"/>
    <w:rsid w:val="00EC2B42"/>
    <w:rsid w:val="00EC3AFB"/>
    <w:rsid w:val="00EC489C"/>
    <w:rsid w:val="00ED2C04"/>
    <w:rsid w:val="00ED4543"/>
    <w:rsid w:val="00ED5421"/>
    <w:rsid w:val="00ED571D"/>
    <w:rsid w:val="00ED7469"/>
    <w:rsid w:val="00EE0B00"/>
    <w:rsid w:val="00EE3802"/>
    <w:rsid w:val="00EE5FFD"/>
    <w:rsid w:val="00EF1DA0"/>
    <w:rsid w:val="00EF268A"/>
    <w:rsid w:val="00EF6543"/>
    <w:rsid w:val="00F0346F"/>
    <w:rsid w:val="00F07647"/>
    <w:rsid w:val="00F104E8"/>
    <w:rsid w:val="00F15ADE"/>
    <w:rsid w:val="00F17937"/>
    <w:rsid w:val="00F217CB"/>
    <w:rsid w:val="00F23139"/>
    <w:rsid w:val="00F245A6"/>
    <w:rsid w:val="00F2478A"/>
    <w:rsid w:val="00F25CC7"/>
    <w:rsid w:val="00F26101"/>
    <w:rsid w:val="00F31FBE"/>
    <w:rsid w:val="00F33E58"/>
    <w:rsid w:val="00F35799"/>
    <w:rsid w:val="00F357D4"/>
    <w:rsid w:val="00F4121F"/>
    <w:rsid w:val="00F42017"/>
    <w:rsid w:val="00F423E5"/>
    <w:rsid w:val="00F425A5"/>
    <w:rsid w:val="00F46BA7"/>
    <w:rsid w:val="00F46BFA"/>
    <w:rsid w:val="00F52EEE"/>
    <w:rsid w:val="00F54BE1"/>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paragraph" w:customStyle="1" w:styleId="Default">
    <w:name w:val="Default"/>
    <w:rsid w:val="00DA5288"/>
    <w:pPr>
      <w:autoSpaceDE w:val="0"/>
      <w:autoSpaceDN w:val="0"/>
      <w:adjustRightInd w:val="0"/>
      <w:spacing w:after="0" w:line="240" w:lineRule="auto"/>
    </w:pPr>
    <w:rPr>
      <w:rFonts w:ascii="Calibri" w:hAnsi="Calibri" w:cs="Calibri"/>
      <w:color w:val="000000"/>
      <w:sz w:val="24"/>
      <w:szCs w:val="24"/>
    </w:rPr>
  </w:style>
  <w:style w:type="paragraph" w:customStyle="1" w:styleId="3">
    <w:name w:val="Παράγραφος λίστας3"/>
    <w:basedOn w:val="a"/>
    <w:rsid w:val="00B325DD"/>
    <w:pPr>
      <w:suppressAutoHyphens/>
      <w:spacing w:after="0" w:line="276" w:lineRule="auto"/>
      <w:ind w:left="720"/>
      <w:textAlignment w:val="baseline"/>
    </w:pPr>
    <w:rPr>
      <w:rFonts w:ascii="Calibri" w:eastAsia="Calibri" w:hAnsi="Calibri"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3294</Words>
  <Characters>17790</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Σκανδαλάκης Αντώνιος</cp:lastModifiedBy>
  <cp:revision>11</cp:revision>
  <dcterms:created xsi:type="dcterms:W3CDTF">2020-07-21T07:51:00Z</dcterms:created>
  <dcterms:modified xsi:type="dcterms:W3CDTF">2020-07-21T11:06:00Z</dcterms:modified>
</cp:coreProperties>
</file>